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266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0"/>
          <w14:textFill>
            <w14:solidFill>
              <w14:schemeClr w14:val="tx1"/>
            </w14:solidFill>
          </w14:textFill>
        </w:rPr>
        <w:t>第十九届中国—欧盟投资贸易科技合作</w:t>
      </w:r>
    </w:p>
    <w:p w14:paraId="47283C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0"/>
          <w14:textFill>
            <w14:solidFill>
              <w14:schemeClr w14:val="tx1"/>
            </w14:solidFill>
          </w14:textFill>
        </w:rPr>
        <w:t>洽谈会·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0"/>
          <w:lang w:val="en-US" w:eastAsia="zh-CN"/>
          <w14:textFill>
            <w14:solidFill>
              <w14:schemeClr w14:val="tx1"/>
            </w14:solidFill>
          </w14:textFill>
        </w:rPr>
        <w:t>中欧绿色贸易合规与ESG</w:t>
      </w:r>
    </w:p>
    <w:p w14:paraId="538EA6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0"/>
          <w:lang w:val="en-US" w:eastAsia="zh-CN"/>
          <w14:textFill>
            <w14:solidFill>
              <w14:schemeClr w14:val="tx1"/>
            </w14:solidFill>
          </w14:textFill>
        </w:rPr>
        <w:t>可持续发展交流会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0"/>
          <w14:textFill>
            <w14:solidFill>
              <w14:schemeClr w14:val="tx1"/>
            </w14:solidFill>
          </w14:textFill>
        </w:rPr>
        <w:t>邀请函</w:t>
      </w:r>
    </w:p>
    <w:p w14:paraId="3D469707">
      <w:pPr>
        <w:keepNext w:val="0"/>
        <w:keepLines w:val="0"/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textAlignment w:val="auto"/>
        <w:rPr>
          <w:rFonts w:hint="eastAsia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50893AF">
      <w:pPr>
        <w:keepNext w:val="0"/>
        <w:keepLines w:val="0"/>
        <w:pageBreakBefore w:val="0"/>
        <w:widowControl/>
        <w:tabs>
          <w:tab w:val="left" w:pos="90"/>
          <w:tab w:val="left" w:pos="720"/>
        </w:tabs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尊敬的各有关单位、企业及机构负责人：</w:t>
      </w:r>
    </w:p>
    <w:p w14:paraId="3C9299FE">
      <w:pPr>
        <w:keepNext w:val="0"/>
        <w:keepLines w:val="0"/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持续发展已成为全球共识，绿色低碳转型正深刻影响国际贸易规则与产业链布局。欧盟碳边境调节机制、数字产品护照、企业可持续发展尽调等规则相继落地，中国坚定推进碳达峰碳中和，绿色贸易规则体系加速成型。然而，中欧绿色规则在标准口径、数据要求与核查方式上仍存在差异，企业跨境经营面临多重合规要求衔接、碳数据重复核算与互认不足等现实难题，既加重合规负担，也成为绿色贸易畅通的隐性壁垒。为回应这一共同关切，第十九届欧洽会专场设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中欧绿色贸易合规与ESG可持续发展交流会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，搭建中欧绿色规则对话与碳数据互认的务实平台。</w:t>
      </w:r>
    </w:p>
    <w:p w14:paraId="55F019E6">
      <w:pPr>
        <w:keepNext w:val="0"/>
        <w:keepLines w:val="0"/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次交流会由中国国际贸易促进委员会商事法律服务中心、中国科学院青岛生物能源与过程研究所、中国绿造雄心领航办公室联合承办，定于2026年10月21日在成都中国—欧洲中心举办。贸促会商法中心长期深耕国际规则对接与涉外商事法律服务，青岛能源所依托GIS-LCA自主技术构建产品碳足迹可信核算底座，双方已在第四届链博会上启动共建全球绿色贸易合规智算平台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会议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围绕轮胎、家电两个中欧贸易重点行业，通过企业与中欧采购商、第三方核查机构的现场对话，推动碳足迹数据口径互认；届时还将启动中欧碳数据可比性研究，开放自主碳数据核算工具，并发布相关证明机制与企业对接名录。</w:t>
      </w:r>
    </w:p>
    <w:p w14:paraId="20051627">
      <w:pPr>
        <w:keepNext w:val="0"/>
        <w:keepLines w:val="0"/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绿色转型路漫，中欧同行致远。我们诚挚邀请贵单位派员莅临成都，与中欧官方机构、商协会、采购商、核查机构和产业链代表一道，共话绿色规则衔接，共商碳数据互认路径，共建开放合作、互利共赢的中欧绿色贸易未来。随函附上会议日程，敬请垂注。</w:t>
      </w:r>
    </w:p>
    <w:p w14:paraId="0B497C3E">
      <w:pPr>
        <w:keepNext w:val="0"/>
        <w:keepLines w:val="0"/>
        <w:pageBreakBefore w:val="0"/>
        <w:widowControl/>
        <w:tabs>
          <w:tab w:val="left" w:pos="90"/>
          <w:tab w:val="left" w:pos="720"/>
        </w:tabs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D8FFA88">
      <w:pPr>
        <w:keepNext w:val="0"/>
        <w:keepLines w:val="0"/>
        <w:pageBreakBefore w:val="0"/>
        <w:widowControl/>
        <w:tabs>
          <w:tab w:val="left" w:pos="90"/>
          <w:tab w:val="left" w:pos="720"/>
        </w:tabs>
        <w:kinsoku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C92A0C3">
      <w:pPr>
        <w:keepNext w:val="0"/>
        <w:keepLines w:val="0"/>
        <w:pageBreakBefore w:val="0"/>
        <w:widowControl/>
        <w:tabs>
          <w:tab w:val="left" w:pos="90"/>
          <w:tab w:val="left" w:pos="720"/>
        </w:tabs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0" w:firstLineChars="0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中国国际贸易促进委员会商事法律服务中心</w:t>
      </w:r>
    </w:p>
    <w:p w14:paraId="3F8525EF">
      <w:pPr>
        <w:keepNext w:val="0"/>
        <w:keepLines w:val="0"/>
        <w:pageBreakBefore w:val="0"/>
        <w:widowControl/>
        <w:tabs>
          <w:tab w:val="left" w:pos="90"/>
          <w:tab w:val="left" w:pos="720"/>
        </w:tabs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0" w:firstLineChars="0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28日           </w:t>
      </w:r>
    </w:p>
    <w:p w14:paraId="5DDDF295"/>
    <w:p w14:paraId="70B0E022"/>
    <w:p w14:paraId="50F20571"/>
    <w:p w14:paraId="44F6BACD"/>
    <w:p w14:paraId="2B0B6395"/>
    <w:p w14:paraId="1212C7B3"/>
    <w:p w14:paraId="0EB81DF9"/>
    <w:p w14:paraId="65A11250"/>
    <w:p w14:paraId="64BA7200"/>
    <w:p w14:paraId="2DD0FACF">
      <w:pPr>
        <w:rPr>
          <w:rFonts w:hint="eastAsia" w:ascii="方正小标宋_GBK" w:hAnsi="仿宋" w:eastAsia="方正小标宋_GBK"/>
          <w:b/>
          <w:bCs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仿宋" w:eastAsia="方正小标宋_GBK"/>
          <w:b/>
          <w:bCs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  <w:br w:type="page"/>
      </w:r>
    </w:p>
    <w:p w14:paraId="36DC2AA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line="6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</w:p>
    <w:p w14:paraId="5DD8EE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中欧绿色贸易合规与ESG可持续发展交流会会议日程（拟）</w:t>
      </w:r>
    </w:p>
    <w:p w14:paraId="5D2F88DB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</w:p>
    <w:p w14:paraId="0214F138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一、会议主题</w:t>
      </w:r>
    </w:p>
    <w:p w14:paraId="615D8981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中欧绿色贸易合规与ESG可持续发展交流会</w:t>
      </w:r>
    </w:p>
    <w:p w14:paraId="61F43ED0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二、会议时间</w:t>
      </w:r>
    </w:p>
    <w:p w14:paraId="7D9C9153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 w14:paraId="19953137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三、会议地点</w:t>
      </w:r>
    </w:p>
    <w:p w14:paraId="3C7E7B0F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中国·成都（中国—欧洲中心）</w:t>
      </w:r>
    </w:p>
    <w:p w14:paraId="1C6C016C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四、组织机构</w:t>
      </w:r>
    </w:p>
    <w:p w14:paraId="6F5B93EC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2" w:firstLineChars="200"/>
        <w:textAlignment w:val="auto"/>
        <w:rPr>
          <w:rFonts w:hint="default" w:ascii="仿宋_GB2312" w:hAnsi="仿宋_GB2312" w:eastAsia="仿宋_GB2312" w:cs="仿宋_GB2312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承办单位：</w:t>
      </w:r>
    </w:p>
    <w:p w14:paraId="76CCE637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中国国际贸易促进委员会商事法律服务中心</w:t>
      </w:r>
    </w:p>
    <w:p w14:paraId="27285C28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中国科学院青岛生物能源与过程研究所</w:t>
      </w:r>
    </w:p>
    <w:p w14:paraId="5E844639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中国绿造雄心领航办公室</w:t>
      </w:r>
    </w:p>
    <w:p w14:paraId="342E4A31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特邀支持单位：</w:t>
      </w:r>
    </w:p>
    <w:p w14:paraId="12CA8BBA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联合国训练研究所（UNITAR）</w:t>
      </w:r>
    </w:p>
    <w:p w14:paraId="2CFCE560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世界可持续发展标准组织（WSSO）</w:t>
      </w:r>
    </w:p>
    <w:p w14:paraId="21162E7A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世界可持续发展工商理事会（WBCSD）PACT秘书处</w:t>
      </w:r>
    </w:p>
    <w:p w14:paraId="5A5CB789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ISSB 可持续发展创新实践先学伙伴50人论坛</w:t>
      </w:r>
    </w:p>
    <w:p w14:paraId="69C00FC7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技术支撑单位（拟邀）：</w:t>
      </w:r>
    </w:p>
    <w:p w14:paraId="0120716A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中国家用电器研究院</w:t>
      </w:r>
    </w:p>
    <w:p w14:paraId="02873319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中国科学院生态环境研究中心</w:t>
      </w:r>
    </w:p>
    <w:p w14:paraId="5596C870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TÜV莱茵、SGS</w:t>
      </w:r>
    </w:p>
    <w:p w14:paraId="572B4EAD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、参会嘉宾（拟）</w:t>
      </w:r>
    </w:p>
    <w:p w14:paraId="6BC19F9F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60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</w:rPr>
        <w:t>（一）欧方官方与机制</w:t>
      </w:r>
    </w:p>
    <w:p w14:paraId="17CF6C93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欧方官方：欧盟成员国驻华使馆商务处、经济处；欧方机构：中国欧盟商会。</w:t>
      </w:r>
    </w:p>
    <w:p w14:paraId="3718BF2D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60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</w:rPr>
        <w:t>（二）规则与行业协会（家电、轮胎双线）</w:t>
      </w:r>
    </w:p>
    <w:p w14:paraId="741F755F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欧盟驻华代表团环境与贸易处；APPLiA（欧洲家电制造商协会）法规事务负责人；ETRMA（欧洲轮胎与橡胶制造商协会）可持续发展负责人。</w:t>
      </w:r>
    </w:p>
    <w:p w14:paraId="0FD88BF8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60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</w:rPr>
        <w:t>（三）采购方与买方（分行业发布需求）</w:t>
      </w:r>
    </w:p>
    <w:p w14:paraId="0FC5DBA4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家电：BSH、伊莱克斯、Arçelik/Beko供应商可持续发展负责人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MediaMarkt、Euronics等欧洲零售采购代表；亚马逊欧盟站点负责任采购团队。</w:t>
      </w:r>
    </w:p>
    <w:p w14:paraId="2F370D19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轮胎：大众、宝马、Stellantis中国区供应商环境与采购负责人；欧洲轮胎分销与车队管理企业采购总监；欧洲翻新轮胎集采平台负责人。</w:t>
      </w:r>
    </w:p>
    <w:p w14:paraId="5C3BF40F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60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</w:rPr>
        <w:t>（四）国际组织与核查机构</w:t>
      </w:r>
    </w:p>
    <w:p w14:paraId="4B6EC6F9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UNITAR（GMLI已有合作）；WBCSD PACT秘书处（视频接入）；TÜV莱茵、TÜV南德、SGS、BV（承担DPP与PEFCR验证）；CDP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SBTi；欧盟联合研究中心JRC（PEF方法学）。</w:t>
      </w:r>
    </w:p>
    <w:p w14:paraId="1552CDED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 w14:paraId="7C422BC3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六、会议议程（拟）</w:t>
      </w:r>
    </w:p>
    <w:tbl>
      <w:tblPr>
        <w:tblStyle w:val="164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2126"/>
        <w:gridCol w:w="5529"/>
      </w:tblGrid>
      <w:tr w14:paraId="78C66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tblHeader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insideV w:val="nil"/>
            </w:tcBorders>
            <w:shd w:val="clear" w:color="auto" w:fill="auto"/>
            <w:vAlign w:val="center"/>
          </w:tcPr>
          <w:p w14:paraId="1047A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14:ligatures w14:val="standardContextual"/>
              </w:rPr>
              <w:t>时间</w:t>
            </w:r>
          </w:p>
        </w:tc>
        <w:tc>
          <w:tcPr>
            <w:tcW w:w="76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V w:val="nil"/>
            </w:tcBorders>
            <w:shd w:val="clear" w:color="auto" w:fill="auto"/>
            <w:vAlign w:val="center"/>
          </w:tcPr>
          <w:p w14:paraId="69583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14:ligatures w14:val="standardContextual"/>
              </w:rPr>
              <w:t>内容</w:t>
            </w:r>
          </w:p>
        </w:tc>
      </w:tr>
      <w:tr w14:paraId="6B178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83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F550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13</w:t>
            </w: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:00-</w:t>
            </w: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14</w:t>
            </w: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:00</w:t>
            </w:r>
          </w:p>
        </w:tc>
        <w:tc>
          <w:tcPr>
            <w:tcW w:w="7655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7498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FFFFFF" w:themeColor="background1"/>
                <w:kern w:val="2"/>
                <w:sz w:val="28"/>
                <w:szCs w:val="28"/>
                <w14:textFill>
                  <w14:solidFill>
                    <w14:schemeClr w14:val="bg1"/>
                  </w14:solidFill>
                </w14:textFill>
                <w14:ligatures w14:val="standardContextual"/>
              </w:rPr>
            </w:pP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注册签到</w:t>
            </w:r>
          </w:p>
        </w:tc>
      </w:tr>
      <w:tr w14:paraId="7128D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27313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14</w:t>
            </w: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:00-</w:t>
            </w: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14</w:t>
            </w: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:20</w:t>
            </w:r>
          </w:p>
        </w:tc>
        <w:tc>
          <w:tcPr>
            <w:tcW w:w="2126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C538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领导</w:t>
            </w: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致辞</w:t>
            </w:r>
          </w:p>
        </w:tc>
        <w:tc>
          <w:tcPr>
            <w:tcW w:w="552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960C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中国科学院领导</w:t>
            </w:r>
          </w:p>
        </w:tc>
      </w:tr>
      <w:tr w14:paraId="5B234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38" w:type="dxa"/>
            <w:vMerge w:val="continue"/>
            <w:shd w:val="clear" w:color="auto" w:fill="auto"/>
            <w:vAlign w:val="center"/>
          </w:tcPr>
          <w:p w14:paraId="4709E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center"/>
          </w:tcPr>
          <w:p w14:paraId="45ECE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552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9E4D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中国贸促会商法中心领导</w:t>
            </w:r>
          </w:p>
        </w:tc>
      </w:tr>
      <w:tr w14:paraId="741BF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838" w:type="dxa"/>
            <w:vMerge w:val="continue"/>
            <w:shd w:val="clear" w:color="auto" w:fill="auto"/>
            <w:vAlign w:val="center"/>
          </w:tcPr>
          <w:p w14:paraId="73B699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center"/>
          </w:tcPr>
          <w:p w14:paraId="452A8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552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2557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欧方嘉宾（使领馆、商会）</w:t>
            </w:r>
          </w:p>
        </w:tc>
      </w:tr>
      <w:tr w14:paraId="1D4D1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33B36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14</w:t>
            </w: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:20-</w:t>
            </w: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16</w:t>
            </w: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:</w:t>
            </w: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0</w:t>
            </w: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0</w:t>
            </w:r>
          </w:p>
          <w:p w14:paraId="7A37C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05146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主旨</w:t>
            </w: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演讲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5FCEF3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欧盟绿色低碳新规对中欧贸易投资的影响（专家）</w:t>
            </w:r>
          </w:p>
        </w:tc>
      </w:tr>
      <w:tr w14:paraId="6E5FA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  <w:jc w:val="center"/>
        </w:trPr>
        <w:tc>
          <w:tcPr>
            <w:tcW w:w="1838" w:type="dxa"/>
            <w:vMerge w:val="continue"/>
            <w:shd w:val="clear" w:color="auto" w:fill="auto"/>
            <w:vAlign w:val="center"/>
          </w:tcPr>
          <w:p w14:paraId="62F4D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center"/>
          </w:tcPr>
          <w:p w14:paraId="66919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2E0AC62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欧盟企业代表发言（拟请外资车企合规官分享欧洲企业采购商的ESG合规要求）</w:t>
            </w:r>
          </w:p>
        </w:tc>
      </w:tr>
      <w:tr w14:paraId="72E32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1838" w:type="dxa"/>
            <w:vMerge w:val="continue"/>
            <w:shd w:val="clear" w:color="auto" w:fill="auto"/>
            <w:vAlign w:val="center"/>
          </w:tcPr>
          <w:p w14:paraId="664F6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center"/>
          </w:tcPr>
          <w:p w14:paraId="1070C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13568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轮胎企业发言：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东营轮胎碳足迹调查核算</w:t>
            </w:r>
          </w:p>
        </w:tc>
      </w:tr>
      <w:tr w14:paraId="0D6FE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1838" w:type="dxa"/>
            <w:vMerge w:val="continue"/>
            <w:shd w:val="clear" w:color="auto" w:fill="auto"/>
            <w:vAlign w:val="center"/>
          </w:tcPr>
          <w:p w14:paraId="1A039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464F41"/>
                <w:kern w:val="2"/>
                <w14:ligatures w14:val="standardContextual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center"/>
          </w:tcPr>
          <w:p w14:paraId="3967E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464F41"/>
                <w:kern w:val="2"/>
                <w14:ligatures w14:val="standardContextual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355B6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家电企业发言：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海信家电本地化因子与家电数字产品护照数据包</w:t>
            </w:r>
          </w:p>
        </w:tc>
      </w:tr>
      <w:tr w14:paraId="4ECF3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  <w:jc w:val="center"/>
        </w:trPr>
        <w:tc>
          <w:tcPr>
            <w:tcW w:w="1838" w:type="dxa"/>
            <w:vMerge w:val="continue"/>
            <w:shd w:val="clear" w:color="auto" w:fill="auto"/>
            <w:vAlign w:val="center"/>
          </w:tcPr>
          <w:p w14:paraId="121B9A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2126" w:type="dxa"/>
            <w:vMerge w:val="continue"/>
            <w:shd w:val="clear" w:color="auto" w:fill="auto"/>
            <w:vAlign w:val="center"/>
          </w:tcPr>
          <w:p w14:paraId="3EE2D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19BFC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认证机构代表发言</w:t>
            </w:r>
          </w:p>
        </w:tc>
      </w:tr>
      <w:tr w14:paraId="21C47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1FDA3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</w:t>
            </w: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6</w:t>
            </w: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:00-1</w:t>
            </w: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6</w:t>
            </w: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:</w:t>
            </w: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15</w:t>
            </w:r>
          </w:p>
        </w:tc>
        <w:tc>
          <w:tcPr>
            <w:tcW w:w="7655" w:type="dxa"/>
            <w:gridSpan w:val="2"/>
            <w:shd w:val="clear" w:color="auto" w:fill="auto"/>
            <w:vAlign w:val="center"/>
          </w:tcPr>
          <w:p w14:paraId="4D50C7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ind w:left="280" w:hanging="280" w:hangingChars="1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中欧产品（轮胎）碳足迹数据可比性与核查规则研究框架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启动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（GB/T 24067、PACT、PEF 三者对照）</w:t>
            </w:r>
          </w:p>
          <w:p w14:paraId="7B54F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2.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GIS-LCA 智算平台核算功能免费开放</w:t>
            </w:r>
          </w:p>
          <w:p w14:paraId="668F4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left"/>
              <w:textAlignment w:val="auto"/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3.ESG行业标准发布（商法中心）</w:t>
            </w:r>
          </w:p>
        </w:tc>
      </w:tr>
      <w:tr w14:paraId="67E7B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08669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: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15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-1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:0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0</w:t>
            </w:r>
          </w:p>
        </w:tc>
        <w:tc>
          <w:tcPr>
            <w:tcW w:w="7655" w:type="dxa"/>
            <w:gridSpan w:val="2"/>
            <w:shd w:val="clear" w:color="auto" w:fill="auto"/>
            <w:vAlign w:val="center"/>
          </w:tcPr>
          <w:p w14:paraId="0C69F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600" w:lineRule="exact"/>
              <w:jc w:val="center"/>
              <w:textAlignment w:val="auto"/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Style w:val="133"/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企业交流会</w:t>
            </w:r>
          </w:p>
        </w:tc>
      </w:tr>
    </w:tbl>
    <w:p w14:paraId="7AE9142E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七、会议报名</w:t>
      </w:r>
    </w:p>
    <w:p w14:paraId="4B7E0EE2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凭第十九届欧洽会证件入场，不另行收费。</w:t>
      </w:r>
    </w:p>
    <w:p w14:paraId="4E0B0577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请拟参会单位扫描报名二维码或点击下方链接填写参会回执。</w:t>
      </w:r>
    </w:p>
    <w:p w14:paraId="59384AB6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报名链接：</w:t>
      </w:r>
    </w:p>
    <w:p w14:paraId="667FA547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八、会务联系</w:t>
      </w:r>
    </w:p>
    <w:p w14:paraId="15A280F2">
      <w:pPr>
        <w:pageBreakBefore w:val="0"/>
        <w:widowControl/>
        <w:tabs>
          <w:tab w:val="left" w:pos="90"/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会务组：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王岱凌 010-82217072；13810333849</w:t>
      </w:r>
    </w:p>
    <w:sectPr>
      <w:footerReference r:id="rId5" w:type="default"/>
      <w:pgSz w:w="11906" w:h="16838"/>
      <w:pgMar w:top="1587" w:right="1644" w:bottom="1474" w:left="164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A9D323-BD48-481B-8752-35A336C7F5B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670764F8-7DB2-412B-8954-8704AE63FC3F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6980985-A1F1-4FD5-A089-D03F45FCA9C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076EF10-919B-489B-A06D-547AEB072037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4CE332FC-47E4-4169-8BF1-413198199F04}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7C776FD5-8368-4843-8EE5-5711280516F9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E1E5A">
    <w:pPr>
      <w:pStyle w:val="24"/>
      <w:jc w:val="center"/>
    </w:pPr>
    <w:r>
      <w:rPr>
        <w:rFonts w:ascii="宋体" w:hAnsi="宋体" w:eastAsia="宋体"/>
        <w:b w:val="0"/>
        <w:sz w:val="21"/>
      </w:rPr>
      <w:fldChar w:fldCharType="begin"/>
    </w:r>
    <w:r>
      <w:rPr>
        <w:rFonts w:ascii="宋体" w:hAnsi="宋体" w:eastAsia="宋体"/>
        <w:b w:val="0"/>
        <w:sz w:val="21"/>
      </w:rPr>
      <w:instrText xml:space="preserve">PAGE</w:instrText>
    </w:r>
    <w:r>
      <w:rPr>
        <w:rFonts w:ascii="宋体" w:hAnsi="宋体" w:eastAsia="宋体"/>
        <w:b w:val="0"/>
        <w:sz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4D01847"/>
    <w:rsid w:val="04FC088E"/>
    <w:rsid w:val="0FD307DD"/>
    <w:rsid w:val="1A474B07"/>
    <w:rsid w:val="1C0E2F29"/>
    <w:rsid w:val="209063C6"/>
    <w:rsid w:val="28304227"/>
    <w:rsid w:val="2EFF2BA5"/>
    <w:rsid w:val="2FB170C1"/>
    <w:rsid w:val="45893367"/>
    <w:rsid w:val="46933C70"/>
    <w:rsid w:val="51FF4AE6"/>
    <w:rsid w:val="52463308"/>
    <w:rsid w:val="549012F6"/>
    <w:rsid w:val="5CC80F35"/>
    <w:rsid w:val="5EAD0764"/>
    <w:rsid w:val="625B620F"/>
    <w:rsid w:val="65351510"/>
    <w:rsid w:val="6B19056F"/>
    <w:rsid w:val="6F212008"/>
    <w:rsid w:val="7B1623D5"/>
    <w:rsid w:val="7E34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table" w:customStyle="1" w:styleId="164">
    <w:name w:val="OP_ExcelTableContent-1091"/>
    <w:basedOn w:val="32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color w:val="464F41"/>
      <w:kern w:val="2"/>
      <w:sz w:val="22"/>
      <w:szCs w:val="24"/>
      <w14:ligatures w14:val="standardContextual"/>
    </w:rPr>
    <w:tblPr>
      <w:tblBorders>
        <w:top w:val="single" w:color="464F41" w:sz="4" w:space="0"/>
        <w:bottom w:val="single" w:color="464F41" w:sz="4" w:space="0"/>
        <w:insideH w:val="dotted" w:color="464F41" w:sz="4" w:space="0"/>
      </w:tblBorders>
    </w:tblPr>
    <w:tcPr>
      <w:shd w:val="clear" w:color="auto" w:fill="auto"/>
    </w:tcPr>
    <w:tblStylePr w:type="firstRow">
      <w:rPr>
        <w:b/>
      </w:rPr>
      <w:tcPr>
        <w:tcBorders>
          <w:top w:val="single" w:color="464F41" w:sz="4" w:space="0"/>
          <w:left w:val="nil"/>
          <w:bottom w:val="single" w:color="464F41" w:sz="4" w:space="0"/>
          <w:insideH w:val="dotted" w:sz="4" w:space="0"/>
          <w:insideV w:val="nil"/>
        </w:tcBorders>
        <w:shd w:val="clear" w:color="auto" w:fill="FFFFF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1608</Words>
  <Characters>1841</Characters>
  <Lines>0</Lines>
  <Paragraphs>0</Paragraphs>
  <TotalTime>20</TotalTime>
  <ScaleCrop>false</ScaleCrop>
  <LinksUpToDate>false</LinksUpToDate>
  <CharactersWithSpaces>1858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CL</cp:lastModifiedBy>
  <dcterms:modified xsi:type="dcterms:W3CDTF">2026-09-28T08:59:57Z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eyJoZGlkIjoiMzk1MzcxYjhiMWM5MzExZTllZWQ0NWVjZjUwZjRlYTkiLCJ1c2VySWQiOiI0OTQ2NzYwMTAifQ==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25D3D6E3D0494B33863AA2D0C1DA6A53_13</vt:lpwstr>
  </property>
</Properties>
</file>