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21F5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中国国际商会青岛商会</w:t>
      </w:r>
      <w:r>
        <w:rPr>
          <w:rFonts w:hint="eastAsia"/>
          <w:lang w:eastAsia="zh-CN"/>
        </w:rPr>
        <w:t>应急</w:t>
      </w:r>
      <w:r>
        <w:t>安全</w:t>
      </w:r>
      <w:r>
        <w:rPr>
          <w:rFonts w:hint="eastAsia"/>
          <w:lang w:eastAsia="zh-CN"/>
        </w:rPr>
        <w:t>培训</w:t>
      </w:r>
      <w:r>
        <w:rPr>
          <w:rFonts w:hint="eastAsia"/>
        </w:rPr>
        <w:t>活动</w:t>
      </w:r>
    </w:p>
    <w:p w14:paraId="77B9200F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楷体" w:hAnsi="楷体" w:eastAsia="楷体"/>
        </w:rPr>
      </w:pPr>
      <w:r>
        <w:rPr>
          <w:rFonts w:ascii="楷体" w:hAnsi="楷体" w:eastAsia="楷体" w:cs="仿宋_GB2312"/>
          <w:kern w:val="44"/>
          <w:sz w:val="32"/>
          <w:szCs w:val="32"/>
        </w:rPr>
        <w:t>——</w:t>
      </w:r>
      <w:bookmarkStart w:id="0" w:name="OLE_LINK2"/>
      <w:bookmarkStart w:id="1" w:name="OLE_LINK1"/>
      <w:r>
        <w:rPr>
          <w:rFonts w:ascii="楷体" w:hAnsi="楷体" w:eastAsia="楷体" w:cs="仿宋_GB2312"/>
          <w:kern w:val="44"/>
          <w:sz w:val="32"/>
          <w:szCs w:val="32"/>
        </w:rPr>
        <w:t>走进</w:t>
      </w:r>
      <w:r>
        <w:rPr>
          <w:rFonts w:hint="eastAsia" w:ascii="楷体" w:hAnsi="楷体" w:eastAsia="楷体" w:cs="仿宋_GB2312"/>
          <w:kern w:val="44"/>
          <w:sz w:val="32"/>
          <w:szCs w:val="32"/>
        </w:rPr>
        <w:t>山东海丽应急安全培训中心</w:t>
      </w:r>
      <w:bookmarkEnd w:id="0"/>
      <w:bookmarkEnd w:id="1"/>
      <w:r>
        <w:rPr>
          <w:rFonts w:ascii="楷体" w:hAnsi="楷体" w:eastAsia="楷体" w:cs="仿宋_GB2312"/>
          <w:kern w:val="44"/>
          <w:sz w:val="32"/>
          <w:szCs w:val="32"/>
        </w:rPr>
        <w:t>方案</w:t>
      </w:r>
    </w:p>
    <w:p w14:paraId="792FD1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黑体" w:hAnsi="黑体" w:eastAsia="黑体" w:cs="仿宋"/>
          <w:sz w:val="36"/>
          <w:szCs w:val="36"/>
        </w:rPr>
      </w:pPr>
    </w:p>
    <w:p w14:paraId="2B9AAD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一、培训目的</w:t>
      </w:r>
    </w:p>
    <w:p w14:paraId="346AF91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为增强青岛国际商会会员企业安全生产意识和应急处置能力，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提升从业人员安全意识和安全技能，防范化解安全生产风险隐患，青岛国际商会会同青岛市应急管理协会、青岛海丽雅集团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组织开展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应急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安全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培训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活动，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走进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山东海丽应急安全培训中心。</w:t>
      </w:r>
    </w:p>
    <w:p w14:paraId="14B46F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二、培训时间</w:t>
      </w:r>
    </w:p>
    <w:p w14:paraId="068A6D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026年</w:t>
      </w:r>
      <w:r>
        <w:rPr>
          <w:rFonts w:hint="eastAsia" w:ascii="仿宋" w:hAnsi="仿宋" w:eastAsia="仿宋" w:cs="仿宋"/>
          <w:sz w:val="32"/>
          <w:szCs w:val="32"/>
        </w:rPr>
        <w:t>6月2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下午</w:t>
      </w:r>
      <w:r>
        <w:rPr>
          <w:rFonts w:hint="eastAsia" w:ascii="仿宋" w:hAnsi="仿宋" w:eastAsia="仿宋" w:cs="仿宋"/>
          <w:sz w:val="32"/>
          <w:szCs w:val="32"/>
        </w:rPr>
        <w:t>，时间半天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92ED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国标楷体-GB/T 2312" w:hAnsi="国标楷体-GB/T 2312" w:eastAsia="国标楷体-GB/T 2312" w:cs="国标楷体-GB/T 2312"/>
          <w:color w:val="auto"/>
          <w:sz w:val="28"/>
          <w:szCs w:val="28"/>
          <w:lang w:eastAsia="zh-CN"/>
        </w:rPr>
        <w:t>（</w:t>
      </w:r>
      <w:r>
        <w:rPr>
          <w:rFonts w:hint="eastAsia" w:ascii="国标楷体-GB/T 2312" w:hAnsi="国标楷体-GB/T 2312" w:eastAsia="国标楷体-GB/T 2312" w:cs="国标楷体-GB/T 2312"/>
          <w:color w:val="auto"/>
          <w:sz w:val="28"/>
          <w:szCs w:val="28"/>
          <w:lang w:val="en-US" w:eastAsia="zh-CN"/>
        </w:rPr>
        <w:t>14:00签到，活动时间14:30-16:30</w:t>
      </w:r>
      <w:r>
        <w:rPr>
          <w:rFonts w:hint="eastAsia" w:ascii="国标楷体-GB/T 2312" w:hAnsi="国标楷体-GB/T 2312" w:eastAsia="国标楷体-GB/T 2312" w:cs="国标楷体-GB/T 2312"/>
          <w:color w:val="auto"/>
          <w:sz w:val="28"/>
          <w:szCs w:val="28"/>
          <w:lang w:eastAsia="zh-CN"/>
        </w:rPr>
        <w:t>）</w:t>
      </w:r>
    </w:p>
    <w:p w14:paraId="099DE6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三、培训地点</w:t>
      </w:r>
    </w:p>
    <w:p w14:paraId="0C9611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山东海丽应急安全培训中心（西海岸基地）</w:t>
      </w:r>
    </w:p>
    <w:p w14:paraId="243D7C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地址：青岛市西海岸新区太行山路336号</w:t>
      </w:r>
    </w:p>
    <w:p w14:paraId="4AAA10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国标楷体-GB/T 2312" w:hAnsi="国标楷体-GB/T 2312" w:eastAsia="国标楷体-GB/T 2312" w:cs="国标楷体-GB/T 2312"/>
          <w:color w:val="auto"/>
          <w:sz w:val="28"/>
          <w:szCs w:val="28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color w:val="auto"/>
          <w:sz w:val="28"/>
          <w:szCs w:val="28"/>
          <w:lang w:val="en-US" w:eastAsia="zh-CN"/>
        </w:rPr>
        <w:t>（停车：因院内停车位有限，建议绿色出行或自行寻找停车位）</w:t>
      </w:r>
    </w:p>
    <w:p w14:paraId="7512BE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四、培训方式</w:t>
      </w:r>
    </w:p>
    <w:p w14:paraId="130B50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情景模拟、案例教学、实操体验相结合的方式。</w:t>
      </w:r>
    </w:p>
    <w:p w14:paraId="3B129AD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五、培训内容</w:t>
      </w:r>
    </w:p>
    <w:p w14:paraId="07F4204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消防安全应急体验；</w:t>
      </w:r>
    </w:p>
    <w:p w14:paraId="126D2FD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医疗救护实操体验；</w:t>
      </w:r>
    </w:p>
    <w:p w14:paraId="6EEE1A2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安全生产应急体验；</w:t>
      </w:r>
    </w:p>
    <w:p w14:paraId="304D48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工伤预防培训。</w:t>
      </w:r>
    </w:p>
    <w:p w14:paraId="6DAF3C62"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仿宋"/>
          <w:sz w:val="32"/>
          <w:szCs w:val="32"/>
        </w:rPr>
        <w:t>培训对象及规模</w:t>
      </w:r>
    </w:p>
    <w:p w14:paraId="6C21BD46"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青岛国际商会会员企业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境外驻青商协会。</w:t>
      </w:r>
    </w:p>
    <w:p w14:paraId="3D84AA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本次</w:t>
      </w:r>
      <w:r>
        <w:rPr>
          <w:rFonts w:ascii="仿宋" w:hAnsi="仿宋" w:eastAsia="仿宋" w:cs="仿宋"/>
          <w:sz w:val="32"/>
          <w:szCs w:val="32"/>
        </w:rPr>
        <w:t>培训免费，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限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0人以内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48A1BD"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</w:p>
    <w:p w14:paraId="0A85C97B"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七、部分体验项目</w:t>
      </w:r>
    </w:p>
    <w:tbl>
      <w:tblPr>
        <w:tblStyle w:val="11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60"/>
        <w:gridCol w:w="3063"/>
        <w:gridCol w:w="3822"/>
      </w:tblGrid>
      <w:tr w14:paraId="664D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 w14:paraId="76D51BA5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b/>
                <w:bCs/>
                <w:sz w:val="28"/>
                <w:szCs w:val="28"/>
              </w:rPr>
            </w:pPr>
            <w:r>
              <w:rPr>
                <w:rFonts w:cs="仿宋"/>
                <w:b/>
                <w:bCs/>
                <w:sz w:val="28"/>
                <w:szCs w:val="28"/>
              </w:rPr>
              <w:t>区域</w:t>
            </w:r>
          </w:p>
        </w:tc>
        <w:tc>
          <w:tcPr>
            <w:tcW w:w="1260" w:type="dxa"/>
            <w:vAlign w:val="center"/>
          </w:tcPr>
          <w:p w14:paraId="0F30ABD1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b/>
                <w:bCs/>
                <w:sz w:val="28"/>
                <w:szCs w:val="28"/>
              </w:rPr>
            </w:pPr>
            <w:r>
              <w:rPr>
                <w:rFonts w:cs="仿宋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3063" w:type="dxa"/>
            <w:vAlign w:val="center"/>
          </w:tcPr>
          <w:p w14:paraId="6ACC34E9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b/>
                <w:bCs/>
                <w:sz w:val="28"/>
                <w:szCs w:val="28"/>
              </w:rPr>
            </w:pPr>
            <w:r>
              <w:rPr>
                <w:rFonts w:cs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3822" w:type="dxa"/>
            <w:vAlign w:val="center"/>
          </w:tcPr>
          <w:p w14:paraId="26B00D31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b/>
                <w:bCs/>
                <w:sz w:val="28"/>
                <w:szCs w:val="28"/>
              </w:rPr>
            </w:pPr>
            <w:r>
              <w:rPr>
                <w:rFonts w:cs="仿宋"/>
                <w:b/>
                <w:bCs/>
                <w:sz w:val="28"/>
                <w:szCs w:val="28"/>
              </w:rPr>
              <w:t>形式</w:t>
            </w:r>
          </w:p>
        </w:tc>
      </w:tr>
      <w:tr w14:paraId="6751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Merge w:val="restart"/>
            <w:vAlign w:val="center"/>
          </w:tcPr>
          <w:p w14:paraId="1D45040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消防体验区</w:t>
            </w:r>
          </w:p>
        </w:tc>
        <w:tc>
          <w:tcPr>
            <w:tcW w:w="1260" w:type="dxa"/>
            <w:vAlign w:val="center"/>
          </w:tcPr>
          <w:p w14:paraId="2367AAE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安全隐患排查</w:t>
            </w:r>
          </w:p>
        </w:tc>
        <w:tc>
          <w:tcPr>
            <w:tcW w:w="3063" w:type="dxa"/>
            <w:vAlign w:val="center"/>
          </w:tcPr>
          <w:p w14:paraId="1017B2F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1.通过触摸屏中多媒体模拟多个场景，</w:t>
            </w:r>
          </w:p>
          <w:p w14:paraId="409F16B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通过点击触摸屏查找各场景中的火灾隐患。</w:t>
            </w:r>
          </w:p>
        </w:tc>
        <w:tc>
          <w:tcPr>
            <w:tcW w:w="3822" w:type="dxa"/>
            <w:vAlign w:val="center"/>
          </w:tcPr>
          <w:p w14:paraId="23A7CF05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  <w:highlight w:val="darkGray"/>
              </w:rPr>
              <w:drawing>
                <wp:inline distT="0" distB="0" distL="114300" distR="114300">
                  <wp:extent cx="1775460" cy="1314450"/>
                  <wp:effectExtent l="0" t="0" r="15240" b="0"/>
                  <wp:docPr id="3" name="图片 3" descr="4baf8cedff23e3f17afe34d472f2d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baf8cedff23e3f17afe34d472f2d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E6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059" w:type="dxa"/>
            <w:vMerge w:val="continue"/>
            <w:vAlign w:val="center"/>
          </w:tcPr>
          <w:p w14:paraId="03CE07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76325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消防标识识别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3A0D87C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1.设有各类消防标志的小灯箱，配合多媒体触摸屏，学习消防标志的名称和作用。</w:t>
            </w:r>
          </w:p>
          <w:p w14:paraId="0140DC4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2.通过颜色分类及消防标志牌展示，了解消防标志的含义，正确识别消防标志并能在紧急时刻利用消防标志的指引快速处置。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E57C98D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13" name="图片 13" descr="2041c5d7091910ca0775397f4a90a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041c5d7091910ca0775397f4a90ac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64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059" w:type="dxa"/>
            <w:vMerge w:val="continue"/>
            <w:vAlign w:val="center"/>
          </w:tcPr>
          <w:p w14:paraId="614D91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C142E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模拟灭火训练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15F451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1.设有红外线电子感应模拟灭火设备,搭建真实的火灾场景。</w:t>
            </w:r>
          </w:p>
          <w:p w14:paraId="1BF15FD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2.通过红外线电子感应灭火器，进行模拟灭火体验。</w:t>
            </w:r>
          </w:p>
          <w:p w14:paraId="3DBE9FB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3.掌握灭火器使用方法及正确操作要领。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028843D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857375" cy="1468755"/>
                  <wp:effectExtent l="0" t="0" r="9525" b="17145"/>
                  <wp:docPr id="19" name="图片 19" descr="5fa8b242b7148f2a5ecc9a3470b3e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5fa8b242b7148f2a5ecc9a3470b3e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46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9B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059" w:type="dxa"/>
            <w:vMerge w:val="continue"/>
            <w:vAlign w:val="center"/>
          </w:tcPr>
          <w:p w14:paraId="0325195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3F00DD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119模拟报警体验</w:t>
            </w:r>
          </w:p>
        </w:tc>
        <w:tc>
          <w:tcPr>
            <w:tcW w:w="3063" w:type="dxa"/>
            <w:vAlign w:val="center"/>
          </w:tcPr>
          <w:p w14:paraId="34E57DE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1.设置119报警电话亭，学习如何正确拨打火警电话。</w:t>
            </w:r>
          </w:p>
          <w:p w14:paraId="420FA7A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2.与虚拟火警接线员进行模拟报警训练。</w:t>
            </w:r>
          </w:p>
        </w:tc>
        <w:tc>
          <w:tcPr>
            <w:tcW w:w="3822" w:type="dxa"/>
            <w:vAlign w:val="center"/>
          </w:tcPr>
          <w:p w14:paraId="06D5D1F8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  <w:highlight w:val="lightGray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35" name="图片 35" descr="911dd22a3b82d5d7c16f915c353a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911dd22a3b82d5d7c16f915c353a3e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B8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059" w:type="dxa"/>
            <w:vMerge w:val="continue"/>
            <w:vAlign w:val="center"/>
          </w:tcPr>
          <w:p w14:paraId="3B59C76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414C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结绳</w:t>
            </w:r>
          </w:p>
          <w:p w14:paraId="4A0C12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训练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59936E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通过结绳展示墙以及电视投屏视频展示，教会学员在险情中最快速有效的两种结绳方法——连接结和固定结。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7CBC285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21" name="图片 21" descr="f410544289b4e4b035aaf80a6018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f410544289b4e4b035aaf80a60189c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51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059" w:type="dxa"/>
            <w:vMerge w:val="continue"/>
            <w:vAlign w:val="center"/>
          </w:tcPr>
          <w:p w14:paraId="75E30356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C3F12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高层逃生演练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0710830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通过讲师现场演示使用方法，了解并学习使用高层楼宇缓降器，掌握高层逃生知识。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3B90507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  <w:highlight w:val="darkGray"/>
              </w:rPr>
              <w:drawing>
                <wp:inline distT="0" distB="0" distL="114300" distR="114300">
                  <wp:extent cx="1877060" cy="1390015"/>
                  <wp:effectExtent l="0" t="0" r="8890" b="635"/>
                  <wp:docPr id="22" name="图片 22" descr="f38f2efb4403502edac7e78ba709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f38f2efb4403502edac7e78ba7091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D1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vAlign w:val="center"/>
          </w:tcPr>
          <w:p w14:paraId="13AD2827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AC219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烟雾逃生走廊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C8644C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1.场馆内设有150米长的烟雾走廊，通过讲解火场逃生注意事项。</w:t>
            </w:r>
          </w:p>
          <w:p w14:paraId="1E1EBF7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2.教授学员正确的逃生保护动作，进行实景模拟逃生训练。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CC39467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  <w:highlight w:val="darkGray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23" name="图片 23" descr="4e075973234c3c76ae7fb6c1a564b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4e075973234c3c76ae7fb6c1a564b6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66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Merge w:val="restart"/>
            <w:vAlign w:val="center"/>
          </w:tcPr>
          <w:p w14:paraId="67A4516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医疗救护培训区</w:t>
            </w:r>
          </w:p>
        </w:tc>
        <w:tc>
          <w:tcPr>
            <w:tcW w:w="1260" w:type="dxa"/>
            <w:vAlign w:val="center"/>
          </w:tcPr>
          <w:p w14:paraId="114865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心肺复苏术体验</w:t>
            </w:r>
          </w:p>
        </w:tc>
        <w:tc>
          <w:tcPr>
            <w:tcW w:w="3063" w:type="dxa"/>
            <w:vAlign w:val="center"/>
          </w:tcPr>
          <w:p w14:paraId="1FF077F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利用模拟假人、多媒体设备，学员学习心肺复苏术的具体操作流程，了解“黄金四分钟”。</w:t>
            </w:r>
          </w:p>
        </w:tc>
        <w:tc>
          <w:tcPr>
            <w:tcW w:w="3822" w:type="dxa"/>
            <w:vAlign w:val="center"/>
          </w:tcPr>
          <w:p w14:paraId="0660D3E8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  <w:highlight w:val="darkGray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861185" cy="1377950"/>
                  <wp:effectExtent l="0" t="0" r="5715" b="12700"/>
                  <wp:docPr id="14" name="图片 14" descr="8e73894258e5cf8717f66a4bded17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8e73894258e5cf8717f66a4bded172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7D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9" w:type="dxa"/>
            <w:vMerge w:val="continue"/>
            <w:vAlign w:val="center"/>
          </w:tcPr>
          <w:p w14:paraId="475AE59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BA39F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海姆立克急救法训练</w:t>
            </w:r>
          </w:p>
        </w:tc>
        <w:tc>
          <w:tcPr>
            <w:tcW w:w="3063" w:type="dxa"/>
            <w:vAlign w:val="center"/>
          </w:tcPr>
          <w:p w14:paraId="5EC72F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1.通过对海姆立克急救法的学习，使学员了解什么是气道异物梗阻。</w:t>
            </w:r>
          </w:p>
          <w:p w14:paraId="15684F2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2.学习如何快速有效的进行自救和互救，提高生命存活率。</w:t>
            </w:r>
          </w:p>
        </w:tc>
        <w:tc>
          <w:tcPr>
            <w:tcW w:w="3822" w:type="dxa"/>
            <w:vAlign w:val="center"/>
          </w:tcPr>
          <w:p w14:paraId="5BF2D72D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  <w:highlight w:val="darkGray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17" name="图片 17" descr="ae30764d355171faef65fda15aabf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ae30764d355171faef65fda15aabf1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1D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 w14:paraId="6A7EFF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安全生产体验区</w:t>
            </w:r>
          </w:p>
        </w:tc>
        <w:tc>
          <w:tcPr>
            <w:tcW w:w="1260" w:type="dxa"/>
            <w:vAlign w:val="center"/>
          </w:tcPr>
          <w:p w14:paraId="52622EA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安全帽</w:t>
            </w:r>
          </w:p>
        </w:tc>
        <w:tc>
          <w:tcPr>
            <w:tcW w:w="3063" w:type="dxa"/>
            <w:vAlign w:val="center"/>
          </w:tcPr>
          <w:p w14:paraId="70A6E89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根据不同学员身高设置不同高度、不同程度的高空坠物。</w:t>
            </w:r>
          </w:p>
          <w:p w14:paraId="74D1DB8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学员佩戴安全帽保护头部，掌握正确躲避方法，了解安全帽的保护原理及重要作用。</w:t>
            </w:r>
          </w:p>
        </w:tc>
        <w:tc>
          <w:tcPr>
            <w:tcW w:w="3822" w:type="dxa"/>
            <w:vAlign w:val="center"/>
          </w:tcPr>
          <w:p w14:paraId="25D55854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34" name="图片 34" descr="5862ca7cc8a8c8cfcaccb19cab48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5862ca7cc8a8c8cfcaccb19cab48b8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59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vAlign w:val="center"/>
          </w:tcPr>
          <w:p w14:paraId="2A9A53F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C47151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触电</w:t>
            </w:r>
          </w:p>
          <w:p w14:paraId="0D12CE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体验</w:t>
            </w:r>
          </w:p>
        </w:tc>
        <w:tc>
          <w:tcPr>
            <w:tcW w:w="3063" w:type="dxa"/>
            <w:vAlign w:val="center"/>
          </w:tcPr>
          <w:p w14:paraId="32A320B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通过触电体验设备，让学员用手进行轻触，感受电流经过人体时的感觉。</w:t>
            </w:r>
          </w:p>
          <w:p w14:paraId="32ECA35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学习安全用电知识。</w:t>
            </w:r>
          </w:p>
        </w:tc>
        <w:tc>
          <w:tcPr>
            <w:tcW w:w="3822" w:type="dxa"/>
            <w:vAlign w:val="center"/>
          </w:tcPr>
          <w:p w14:paraId="5C032B80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37" name="图片 37" descr="43fe371c1b271ba262813261089e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43fe371c1b271ba262813261089e0e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48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vAlign w:val="center"/>
          </w:tcPr>
          <w:p w14:paraId="452D106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7EF5E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电气安全（跨步电压）</w:t>
            </w:r>
          </w:p>
        </w:tc>
        <w:tc>
          <w:tcPr>
            <w:tcW w:w="3063" w:type="dxa"/>
            <w:vAlign w:val="center"/>
          </w:tcPr>
          <w:p w14:paraId="4C560C0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1.学习跨步电压的知识。</w:t>
            </w:r>
          </w:p>
          <w:p w14:paraId="39175F5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2.让学员根据所学知识进行跨步电压训练逃生练习。</w:t>
            </w:r>
          </w:p>
        </w:tc>
        <w:tc>
          <w:tcPr>
            <w:tcW w:w="3822" w:type="dxa"/>
            <w:vAlign w:val="center"/>
          </w:tcPr>
          <w:p w14:paraId="66B9B81F">
            <w:pPr>
              <w:pStyle w:val="3"/>
              <w:kinsoku w:val="0"/>
              <w:overflowPunct w:val="0"/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hint="default" w:cs="仿宋"/>
                <w:sz w:val="28"/>
                <w:szCs w:val="28"/>
              </w:rPr>
            </w:pPr>
            <w:r>
              <w:rPr>
                <w:rFonts w:cs="仿宋"/>
                <w:sz w:val="28"/>
                <w:szCs w:val="28"/>
              </w:rPr>
              <w:drawing>
                <wp:inline distT="0" distB="0" distL="114300" distR="114300">
                  <wp:extent cx="1943100" cy="1438275"/>
                  <wp:effectExtent l="0" t="0" r="0" b="9525"/>
                  <wp:docPr id="38" name="图片 38" descr="375b820e85f95e6e1f630aec7b31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375b820e85f95e6e1f630aec7b312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F6DA7">
      <w:pPr>
        <w:spacing w:line="560" w:lineRule="exact"/>
        <w:ind w:firstLine="640" w:firstLineChars="200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八、报名方式：</w:t>
      </w:r>
    </w:p>
    <w:p w14:paraId="39C3E346">
      <w:pPr>
        <w:spacing w:line="240" w:lineRule="auto"/>
        <w:jc w:val="center"/>
        <w:rPr>
          <w:rFonts w:hint="default" w:ascii="仿宋" w:hAnsi="仿宋" w:eastAsia="仿宋" w:cs="仿宋"/>
          <w:sz w:val="28"/>
          <w:szCs w:val="28"/>
          <w:lang w:val="en-US"/>
        </w:rPr>
      </w:pPr>
    </w:p>
    <w:p w14:paraId="5370FC4C">
      <w:pPr>
        <w:spacing w:line="240" w:lineRule="auto"/>
        <w:jc w:val="center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default" w:ascii="仿宋" w:hAnsi="仿宋" w:eastAsia="仿宋" w:cs="仿宋"/>
          <w:sz w:val="28"/>
          <w:szCs w:val="28"/>
          <w:lang w:val="en-US"/>
        </w:rPr>
        <w:drawing>
          <wp:inline distT="0" distB="0" distL="114300" distR="114300">
            <wp:extent cx="3804285" cy="1640840"/>
            <wp:effectExtent l="0" t="0" r="5715" b="16510"/>
            <wp:docPr id="4" name="图片 4" descr="中国国际商会青岛商会应急安全培训活动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国国际商会青岛商会应急安全培训活动 (1)"/>
                    <pic:cNvPicPr>
                      <a:picLocks noChangeAspect="1"/>
                    </pic:cNvPicPr>
                  </pic:nvPicPr>
                  <pic:blipFill>
                    <a:blip r:embed="rId17"/>
                    <a:srcRect t="45975" r="20625" b="32162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footerReference r:id="rId3" w:type="default"/>
      <w:pgSz w:w="11906" w:h="16838"/>
      <w:pgMar w:top="1417" w:right="1417" w:bottom="1417" w:left="1417" w:header="794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0D06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4EF2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4EF2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YTM1ZmJkNThmMjUwODU2NjcyN2IyODA5ZTVhMzIifQ=="/>
    <w:docVar w:name="KSO_WPS_MARK_KEY" w:val="04b73852-c470-4734-8af4-99daaddbe9a3"/>
  </w:docVars>
  <w:rsids>
    <w:rsidRoot w:val="00B92BCF"/>
    <w:rsid w:val="00055BAC"/>
    <w:rsid w:val="00063051"/>
    <w:rsid w:val="00067B16"/>
    <w:rsid w:val="00081C98"/>
    <w:rsid w:val="00092840"/>
    <w:rsid w:val="001256D0"/>
    <w:rsid w:val="0013131A"/>
    <w:rsid w:val="00162484"/>
    <w:rsid w:val="0017560F"/>
    <w:rsid w:val="00217663"/>
    <w:rsid w:val="00262064"/>
    <w:rsid w:val="002E3358"/>
    <w:rsid w:val="002E5B59"/>
    <w:rsid w:val="00342CBA"/>
    <w:rsid w:val="003971DB"/>
    <w:rsid w:val="00397D96"/>
    <w:rsid w:val="004012F7"/>
    <w:rsid w:val="00460915"/>
    <w:rsid w:val="00551CF1"/>
    <w:rsid w:val="00596907"/>
    <w:rsid w:val="005D32E3"/>
    <w:rsid w:val="006064AB"/>
    <w:rsid w:val="006A64A9"/>
    <w:rsid w:val="006C2E52"/>
    <w:rsid w:val="00756DA0"/>
    <w:rsid w:val="007718FD"/>
    <w:rsid w:val="00782BFF"/>
    <w:rsid w:val="007C482F"/>
    <w:rsid w:val="007F0AFC"/>
    <w:rsid w:val="00821BBD"/>
    <w:rsid w:val="00844592"/>
    <w:rsid w:val="008476A8"/>
    <w:rsid w:val="00876101"/>
    <w:rsid w:val="008D70F9"/>
    <w:rsid w:val="0090642B"/>
    <w:rsid w:val="009F4FDF"/>
    <w:rsid w:val="00A52DFF"/>
    <w:rsid w:val="00A95B1D"/>
    <w:rsid w:val="00AE2F1F"/>
    <w:rsid w:val="00AF5ED3"/>
    <w:rsid w:val="00B0791E"/>
    <w:rsid w:val="00B66D11"/>
    <w:rsid w:val="00B92BCF"/>
    <w:rsid w:val="00BB5C76"/>
    <w:rsid w:val="00BD0C63"/>
    <w:rsid w:val="00BF1729"/>
    <w:rsid w:val="00CA3CDC"/>
    <w:rsid w:val="00CB44CD"/>
    <w:rsid w:val="00D445B7"/>
    <w:rsid w:val="00D62142"/>
    <w:rsid w:val="00DC62F0"/>
    <w:rsid w:val="00DE27AC"/>
    <w:rsid w:val="00EA764D"/>
    <w:rsid w:val="00EB1F5A"/>
    <w:rsid w:val="00F0182C"/>
    <w:rsid w:val="00F43205"/>
    <w:rsid w:val="00F87D72"/>
    <w:rsid w:val="00FF4052"/>
    <w:rsid w:val="01763BCE"/>
    <w:rsid w:val="01A70A44"/>
    <w:rsid w:val="0325568D"/>
    <w:rsid w:val="037E320E"/>
    <w:rsid w:val="03F60FF6"/>
    <w:rsid w:val="04B74A42"/>
    <w:rsid w:val="04FC088E"/>
    <w:rsid w:val="0530678A"/>
    <w:rsid w:val="05687CD1"/>
    <w:rsid w:val="0575419C"/>
    <w:rsid w:val="05E10D24"/>
    <w:rsid w:val="065D10CD"/>
    <w:rsid w:val="066E7569"/>
    <w:rsid w:val="067A1543"/>
    <w:rsid w:val="06A11837"/>
    <w:rsid w:val="07D6235D"/>
    <w:rsid w:val="08601134"/>
    <w:rsid w:val="096D7CF2"/>
    <w:rsid w:val="0A5D52E4"/>
    <w:rsid w:val="0AA01CBB"/>
    <w:rsid w:val="0ADD6413"/>
    <w:rsid w:val="0BAD28E2"/>
    <w:rsid w:val="0C110C60"/>
    <w:rsid w:val="0C287643"/>
    <w:rsid w:val="0D244E26"/>
    <w:rsid w:val="0ED24AE4"/>
    <w:rsid w:val="0F5372FC"/>
    <w:rsid w:val="0F7135D6"/>
    <w:rsid w:val="0FDF16DC"/>
    <w:rsid w:val="0FFC3E38"/>
    <w:rsid w:val="11357601"/>
    <w:rsid w:val="119A56B6"/>
    <w:rsid w:val="11D566EF"/>
    <w:rsid w:val="11F0517B"/>
    <w:rsid w:val="130354DD"/>
    <w:rsid w:val="13C46A1B"/>
    <w:rsid w:val="14990149"/>
    <w:rsid w:val="14C34F24"/>
    <w:rsid w:val="15F555B1"/>
    <w:rsid w:val="161F618A"/>
    <w:rsid w:val="16AB4A01"/>
    <w:rsid w:val="178F7340"/>
    <w:rsid w:val="17E551B2"/>
    <w:rsid w:val="17EC2876"/>
    <w:rsid w:val="18BC23B6"/>
    <w:rsid w:val="18FF2C51"/>
    <w:rsid w:val="193A01D5"/>
    <w:rsid w:val="19467ED2"/>
    <w:rsid w:val="1968609A"/>
    <w:rsid w:val="1AC437A4"/>
    <w:rsid w:val="1BD96DDB"/>
    <w:rsid w:val="1C8651B5"/>
    <w:rsid w:val="1CF3211F"/>
    <w:rsid w:val="1D416EB2"/>
    <w:rsid w:val="1DF7113F"/>
    <w:rsid w:val="1E5706EC"/>
    <w:rsid w:val="1EEC32CA"/>
    <w:rsid w:val="201E5705"/>
    <w:rsid w:val="210507F9"/>
    <w:rsid w:val="216830DB"/>
    <w:rsid w:val="22717D6E"/>
    <w:rsid w:val="238241FC"/>
    <w:rsid w:val="23C538E4"/>
    <w:rsid w:val="242C4296"/>
    <w:rsid w:val="24FB5ABF"/>
    <w:rsid w:val="2698178A"/>
    <w:rsid w:val="26D60AE7"/>
    <w:rsid w:val="27402404"/>
    <w:rsid w:val="27507C1B"/>
    <w:rsid w:val="275F0ADD"/>
    <w:rsid w:val="279A1B15"/>
    <w:rsid w:val="27AE3812"/>
    <w:rsid w:val="28373807"/>
    <w:rsid w:val="28757E8C"/>
    <w:rsid w:val="28AC2150"/>
    <w:rsid w:val="28B5472C"/>
    <w:rsid w:val="2BD22280"/>
    <w:rsid w:val="2CFE48F4"/>
    <w:rsid w:val="2DCF2B98"/>
    <w:rsid w:val="2E19750B"/>
    <w:rsid w:val="2E56075F"/>
    <w:rsid w:val="2E8A7581"/>
    <w:rsid w:val="2F560A17"/>
    <w:rsid w:val="2F7321DB"/>
    <w:rsid w:val="308307D2"/>
    <w:rsid w:val="30C64356"/>
    <w:rsid w:val="31CA34A3"/>
    <w:rsid w:val="33945A9D"/>
    <w:rsid w:val="347D4A16"/>
    <w:rsid w:val="357240D1"/>
    <w:rsid w:val="36411800"/>
    <w:rsid w:val="36F40B16"/>
    <w:rsid w:val="37EC7BF1"/>
    <w:rsid w:val="3851621F"/>
    <w:rsid w:val="39900401"/>
    <w:rsid w:val="39D23390"/>
    <w:rsid w:val="3A3F654C"/>
    <w:rsid w:val="3B007A89"/>
    <w:rsid w:val="3BB069C8"/>
    <w:rsid w:val="3C5856E7"/>
    <w:rsid w:val="3CFE6D77"/>
    <w:rsid w:val="3D6E09A6"/>
    <w:rsid w:val="3E6E5520"/>
    <w:rsid w:val="3E6F38A3"/>
    <w:rsid w:val="3EA13331"/>
    <w:rsid w:val="3EBC0469"/>
    <w:rsid w:val="3F3F68EA"/>
    <w:rsid w:val="3F7F10A5"/>
    <w:rsid w:val="408E6B55"/>
    <w:rsid w:val="42156510"/>
    <w:rsid w:val="44D81A76"/>
    <w:rsid w:val="455235D7"/>
    <w:rsid w:val="459D40C8"/>
    <w:rsid w:val="45A32084"/>
    <w:rsid w:val="45C81AEB"/>
    <w:rsid w:val="47380D35"/>
    <w:rsid w:val="47A143A2"/>
    <w:rsid w:val="47E30E5E"/>
    <w:rsid w:val="47EF335F"/>
    <w:rsid w:val="487B2E45"/>
    <w:rsid w:val="48DE0C1A"/>
    <w:rsid w:val="4AD351BA"/>
    <w:rsid w:val="4AE7656F"/>
    <w:rsid w:val="4B577451"/>
    <w:rsid w:val="4CD86AB8"/>
    <w:rsid w:val="4E2E4192"/>
    <w:rsid w:val="4FCB3CBC"/>
    <w:rsid w:val="50715259"/>
    <w:rsid w:val="538A03E0"/>
    <w:rsid w:val="53980081"/>
    <w:rsid w:val="53AC0356"/>
    <w:rsid w:val="53BF452D"/>
    <w:rsid w:val="54890697"/>
    <w:rsid w:val="54F75F49"/>
    <w:rsid w:val="567CEDDE"/>
    <w:rsid w:val="58D00F8B"/>
    <w:rsid w:val="58ED2E4A"/>
    <w:rsid w:val="5A196C7F"/>
    <w:rsid w:val="5A4A2677"/>
    <w:rsid w:val="5B583BEB"/>
    <w:rsid w:val="5BA44364"/>
    <w:rsid w:val="5C317C7D"/>
    <w:rsid w:val="5C7F25E2"/>
    <w:rsid w:val="5CD07AAC"/>
    <w:rsid w:val="5D2F6ACB"/>
    <w:rsid w:val="5D59716E"/>
    <w:rsid w:val="5DFE20F6"/>
    <w:rsid w:val="5E9465B6"/>
    <w:rsid w:val="5EC46E9C"/>
    <w:rsid w:val="5F779F81"/>
    <w:rsid w:val="5F896137"/>
    <w:rsid w:val="62713A30"/>
    <w:rsid w:val="62941CB4"/>
    <w:rsid w:val="633635FA"/>
    <w:rsid w:val="63FC70D8"/>
    <w:rsid w:val="64BB2AEF"/>
    <w:rsid w:val="65417DAC"/>
    <w:rsid w:val="65802017"/>
    <w:rsid w:val="663E5786"/>
    <w:rsid w:val="670A52D6"/>
    <w:rsid w:val="67E40627"/>
    <w:rsid w:val="681E1391"/>
    <w:rsid w:val="689A3EA7"/>
    <w:rsid w:val="68A51AEC"/>
    <w:rsid w:val="69715E72"/>
    <w:rsid w:val="6A1D1B56"/>
    <w:rsid w:val="6A74150E"/>
    <w:rsid w:val="6B7632CC"/>
    <w:rsid w:val="7285473C"/>
    <w:rsid w:val="734939BC"/>
    <w:rsid w:val="73903399"/>
    <w:rsid w:val="73F751C6"/>
    <w:rsid w:val="7480340D"/>
    <w:rsid w:val="74F2633F"/>
    <w:rsid w:val="75334EC3"/>
    <w:rsid w:val="7544443B"/>
    <w:rsid w:val="75E95D2F"/>
    <w:rsid w:val="78215FBB"/>
    <w:rsid w:val="784D7AAA"/>
    <w:rsid w:val="787212BF"/>
    <w:rsid w:val="795135CA"/>
    <w:rsid w:val="7997722F"/>
    <w:rsid w:val="7B5573A2"/>
    <w:rsid w:val="7BCBAD37"/>
    <w:rsid w:val="7C276F98"/>
    <w:rsid w:val="7C55F9B7"/>
    <w:rsid w:val="7D6E474B"/>
    <w:rsid w:val="7DE93453"/>
    <w:rsid w:val="7EDB0783"/>
    <w:rsid w:val="7F1E67E4"/>
    <w:rsid w:val="7F817A37"/>
    <w:rsid w:val="7FFFB67B"/>
    <w:rsid w:val="8DBF0EED"/>
    <w:rsid w:val="ADFF4F7B"/>
    <w:rsid w:val="EE3755D2"/>
    <w:rsid w:val="F6BFC3E8"/>
    <w:rsid w:val="F95F4FE3"/>
    <w:rsid w:val="FBFEE450"/>
    <w:rsid w:val="FD76027A"/>
    <w:rsid w:val="FDBBBDF8"/>
    <w:rsid w:val="FDBF7579"/>
    <w:rsid w:val="FF35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微软雅黑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nhideWhenUsed/>
    <w:qFormat/>
    <w:uiPriority w:val="1"/>
    <w:pPr>
      <w:spacing w:before="158"/>
      <w:ind w:left="108"/>
    </w:pPr>
    <w:rPr>
      <w:rFonts w:hint="eastAsia" w:ascii="仿宋" w:hAnsi="仿宋" w:eastAsia="仿宋"/>
      <w:sz w:val="24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日期 Char"/>
    <w:basedOn w:val="12"/>
    <w:link w:val="4"/>
    <w:qFormat/>
    <w:uiPriority w:val="0"/>
    <w:rPr>
      <w:kern w:val="2"/>
      <w:sz w:val="21"/>
      <w:szCs w:val="24"/>
    </w:rPr>
  </w:style>
  <w:style w:type="paragraph" w:customStyle="1" w:styleId="1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16">
    <w:name w:val="页眉 Char"/>
    <w:basedOn w:val="12"/>
    <w:link w:val="7"/>
    <w:qFormat/>
    <w:uiPriority w:val="0"/>
    <w:rPr>
      <w:kern w:val="2"/>
      <w:sz w:val="18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2"/>
    <w:link w:val="3"/>
    <w:qFormat/>
    <w:uiPriority w:val="1"/>
    <w:rPr>
      <w:rFonts w:ascii="仿宋" w:hAnsi="仿宋" w:eastAsia="仿宋"/>
      <w:kern w:val="2"/>
      <w:sz w:val="24"/>
      <w:szCs w:val="24"/>
    </w:rPr>
  </w:style>
  <w:style w:type="character" w:customStyle="1" w:styleId="19">
    <w:name w:val="批注框文本 Char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</Words>
  <Characters>999</Characters>
  <Lines>8</Lines>
  <Paragraphs>2</Paragraphs>
  <TotalTime>2</TotalTime>
  <ScaleCrop>false</ScaleCrop>
  <LinksUpToDate>false</LinksUpToDate>
  <CharactersWithSpaces>1172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2026-06-12T00:15:00Z</dcterms:created>
  <dc:creator>尾生</dc:creator>
  <cp:lastModifiedBy>Haier</cp:lastModifiedBy>
  <cp:lastPrinted>2026-06-17T22:16:00Z</cp:lastPrinted>
  <dcterms:modified xsi:type="dcterms:W3CDTF">2026-06-25T09:52:58Z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A10EE31E82B54D1D811433A64564E488</vt:lpwstr>
  </property>
  <property fmtid="{D5CDD505-2E9C-101B-9397-08002B2CF9AE}" pid="4" name="KSOTemplateDocerSaveRecord">
    <vt:lpwstr>eyJoZGlkIjoiOWNlMDQyOTc2ZmI0MTZiMGEzNDlkMjU4ZTU5YzE3MWUiLCJ1c2VySWQiOiIzNjE2MDE5NjIifQ==</vt:lpwstr>
  </property>
</Properties>
</file>