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8C81B">
      <w:pPr>
        <w:jc w:val="center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404040"/>
          <w:spacing w:val="0"/>
          <w:kern w:val="0"/>
          <w:sz w:val="48"/>
          <w:szCs w:val="48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404040"/>
          <w:spacing w:val="0"/>
          <w:kern w:val="0"/>
          <w:sz w:val="48"/>
          <w:szCs w:val="48"/>
          <w:lang w:val="en-US" w:eastAsia="zh-CN" w:bidi="ar"/>
        </w:rPr>
        <w:t>对有意在塔什干进行合作和投资的中国公司优先领域的建议</w:t>
      </w:r>
    </w:p>
    <w:p w14:paraId="6129EA38">
      <w:pPr>
        <w:pStyle w:val="2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5"/>
        <w:gridCol w:w="2120"/>
        <w:gridCol w:w="2575"/>
        <w:gridCol w:w="2625"/>
        <w:gridCol w:w="5800"/>
      </w:tblGrid>
      <w:tr w14:paraId="5BE10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85" w:type="dxa"/>
            <w:tcBorders>
              <w:bottom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5A4A8475">
            <w:pPr>
              <w:pStyle w:val="2"/>
              <w:jc w:val="center"/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120" w:type="dxa"/>
            <w:tcBorders>
              <w:bottom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42846E27">
            <w:pPr>
              <w:pStyle w:val="2"/>
              <w:jc w:val="center"/>
              <w:rPr>
                <w:rFonts w:hint="eastAsia"/>
                <w:b/>
                <w:bCs w:val="0"/>
                <w:lang w:val="en-US" w:eastAsia="zh-CN"/>
              </w:rPr>
            </w:pPr>
            <w:r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优先行业</w:t>
            </w:r>
          </w:p>
        </w:tc>
        <w:tc>
          <w:tcPr>
            <w:tcW w:w="2575" w:type="dxa"/>
            <w:tcBorders>
              <w:left w:val="nil"/>
              <w:bottom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5EB434A4">
            <w:pPr>
              <w:jc w:val="center"/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投资机会</w:t>
            </w:r>
          </w:p>
        </w:tc>
        <w:tc>
          <w:tcPr>
            <w:tcW w:w="2625" w:type="dxa"/>
            <w:tcBorders>
              <w:left w:val="nil"/>
              <w:bottom w:val="nil"/>
            </w:tcBorders>
            <w:noWrap w:val="0"/>
            <w:tcMar>
              <w:left w:w="0" w:type="dxa"/>
            </w:tcMar>
            <w:vAlign w:val="center"/>
          </w:tcPr>
          <w:p w14:paraId="0DA1D695">
            <w:pPr>
              <w:jc w:val="center"/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潜在合作领域</w:t>
            </w:r>
          </w:p>
        </w:tc>
        <w:tc>
          <w:tcPr>
            <w:tcW w:w="5800" w:type="dxa"/>
            <w:tcBorders>
              <w:left w:val="nil"/>
              <w:bottom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20707F67">
            <w:pPr>
              <w:jc w:val="center"/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黑体" w:hAnsi="黑体" w:eastAsia="黑体" w:cs="黑体"/>
                <w:b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前景项目</w:t>
            </w:r>
          </w:p>
        </w:tc>
      </w:tr>
      <w:tr w14:paraId="1CF72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atLeast"/>
        </w:trPr>
        <w:tc>
          <w:tcPr>
            <w:tcW w:w="785" w:type="dxa"/>
            <w:tcBorders>
              <w:top w:val="nil"/>
              <w:left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4B0DADC0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652E7530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建筑、房地产和改造项目</w:t>
            </w:r>
          </w:p>
        </w:tc>
        <w:tc>
          <w:tcPr>
            <w:tcW w:w="2575" w:type="dxa"/>
            <w:tcBorders>
              <w:top w:val="nil"/>
              <w:left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23F3006E"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智慧城市、住宅项目、多功能综合体</w:t>
            </w:r>
          </w:p>
        </w:tc>
        <w:tc>
          <w:tcPr>
            <w:tcW w:w="2625" w:type="dxa"/>
            <w:tcBorders>
              <w:top w:val="nil"/>
              <w:left w:val="nil"/>
            </w:tcBorders>
            <w:noWrap w:val="0"/>
            <w:tcMar>
              <w:left w:w="0" w:type="dxa"/>
            </w:tcMar>
            <w:vAlign w:val="center"/>
          </w:tcPr>
          <w:p w14:paraId="1F6010A2">
            <w:pPr>
              <w:jc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基础设施发展</w:t>
            </w:r>
          </w:p>
        </w:tc>
        <w:tc>
          <w:tcPr>
            <w:tcW w:w="5800" w:type="dxa"/>
            <w:tcBorders>
              <w:top w:val="nil"/>
              <w:left w:val="nil"/>
              <w:right w:val="nil"/>
            </w:tcBorders>
            <w:noWrap w:val="0"/>
            <w:tcMar>
              <w:left w:w="0" w:type="dxa"/>
            </w:tcMar>
            <w:vAlign w:val="center"/>
          </w:tcPr>
          <w:p w14:paraId="667B2CF3">
            <w:pPr>
              <w:jc w:val="center"/>
              <w:rPr>
                <w:rFonts w:hint="eastAsia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"新塔什干市"、"乌赫捷帕中心"、"河滨项目"、"新乌兹别克斯坦街"、改造区域</w:t>
            </w:r>
          </w:p>
        </w:tc>
      </w:tr>
      <w:tr w14:paraId="16727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09623E76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098F82E2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食品工业和加工</w:t>
            </w:r>
          </w:p>
        </w:tc>
        <w:tc>
          <w:tcPr>
            <w:tcW w:w="2575" w:type="dxa"/>
            <w:noWrap w:val="0"/>
            <w:vAlign w:val="center"/>
          </w:tcPr>
          <w:p w14:paraId="385610A1">
            <w:pPr>
              <w:jc w:val="center"/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肉类、乳制品、谷物加工，包装生产</w:t>
            </w:r>
          </w:p>
        </w:tc>
        <w:tc>
          <w:tcPr>
            <w:tcW w:w="2625" w:type="dxa"/>
            <w:noWrap w:val="0"/>
            <w:vAlign w:val="center"/>
          </w:tcPr>
          <w:p w14:paraId="40D638FC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技术转让、出口合作伙伴关系</w:t>
            </w:r>
          </w:p>
        </w:tc>
        <w:tc>
          <w:tcPr>
            <w:tcW w:w="5800" w:type="dxa"/>
            <w:noWrap w:val="0"/>
            <w:vAlign w:val="center"/>
          </w:tcPr>
          <w:p w14:paraId="767219FC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"塔什干制药园区"、"新一代"特别工业区、小型工业区、个别工业项目</w:t>
            </w:r>
          </w:p>
        </w:tc>
      </w:tr>
      <w:tr w14:paraId="7C49B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5CA26120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1A14D231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旅游和酒店业</w:t>
            </w:r>
          </w:p>
        </w:tc>
        <w:tc>
          <w:tcPr>
            <w:tcW w:w="2575" w:type="dxa"/>
            <w:noWrap w:val="0"/>
            <w:vAlign w:val="center"/>
          </w:tcPr>
          <w:p w14:paraId="26654D9F">
            <w:pPr>
              <w:jc w:val="center"/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酒店、娱乐中心</w:t>
            </w:r>
          </w:p>
        </w:tc>
        <w:tc>
          <w:tcPr>
            <w:tcW w:w="2625" w:type="dxa"/>
            <w:noWrap w:val="0"/>
            <w:vAlign w:val="center"/>
          </w:tcPr>
          <w:p w14:paraId="156F4D9D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特许经营协议、旅游品牌发展</w:t>
            </w:r>
          </w:p>
        </w:tc>
        <w:tc>
          <w:tcPr>
            <w:tcW w:w="5800" w:type="dxa"/>
            <w:noWrap w:val="0"/>
            <w:vAlign w:val="center"/>
          </w:tcPr>
          <w:p w14:paraId="7E3CBA72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"新塔什干市"、"乌赫捷帕中心"、"河滨项目"、"新乌兹别克斯坦街"、改造区域</w:t>
            </w:r>
          </w:p>
        </w:tc>
      </w:tr>
      <w:tr w14:paraId="3EC6F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3A887405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0FECF273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可再生能源和绿色技术</w:t>
            </w:r>
          </w:p>
        </w:tc>
        <w:tc>
          <w:tcPr>
            <w:tcW w:w="2575" w:type="dxa"/>
            <w:noWrap w:val="0"/>
            <w:vAlign w:val="center"/>
          </w:tcPr>
          <w:p w14:paraId="1E15C092">
            <w:pPr>
              <w:jc w:val="center"/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屋顶太阳能电池板安装、储能系统</w:t>
            </w:r>
          </w:p>
        </w:tc>
        <w:tc>
          <w:tcPr>
            <w:tcW w:w="2625" w:type="dxa"/>
            <w:noWrap w:val="0"/>
            <w:vAlign w:val="center"/>
          </w:tcPr>
          <w:p w14:paraId="33842F6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屋顶太阳能电池板安装、储能系统供应</w:t>
            </w:r>
          </w:p>
        </w:tc>
        <w:tc>
          <w:tcPr>
            <w:tcW w:w="5800" w:type="dxa"/>
            <w:noWrap w:val="0"/>
            <w:vAlign w:val="center"/>
          </w:tcPr>
          <w:p w14:paraId="4AC0D1D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大型工业设施屋顶</w:t>
            </w:r>
          </w:p>
        </w:tc>
      </w:tr>
      <w:tr w14:paraId="72C7B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327325B9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7E9BC7F4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工业</w:t>
            </w:r>
          </w:p>
        </w:tc>
        <w:tc>
          <w:tcPr>
            <w:tcW w:w="2575" w:type="dxa"/>
            <w:noWrap w:val="0"/>
            <w:vAlign w:val="center"/>
          </w:tcPr>
          <w:p w14:paraId="2F7F3CED">
            <w:pPr>
              <w:jc w:val="center"/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机械制造、汽车制造、电子产品</w:t>
            </w:r>
          </w:p>
        </w:tc>
        <w:tc>
          <w:tcPr>
            <w:tcW w:w="2625" w:type="dxa"/>
            <w:noWrap w:val="0"/>
            <w:vAlign w:val="center"/>
          </w:tcPr>
          <w:p w14:paraId="52117D13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本地化、配件供应</w:t>
            </w:r>
          </w:p>
        </w:tc>
        <w:tc>
          <w:tcPr>
            <w:tcW w:w="5800" w:type="dxa"/>
            <w:noWrap w:val="0"/>
            <w:vAlign w:val="center"/>
          </w:tcPr>
          <w:p w14:paraId="4C37728F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"新一代"特别工业区、小型工业区、个别工业项目</w:t>
            </w:r>
          </w:p>
        </w:tc>
      </w:tr>
      <w:tr w14:paraId="0129F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77156137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7453D25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交通基础设施</w:t>
            </w:r>
          </w:p>
        </w:tc>
        <w:tc>
          <w:tcPr>
            <w:tcW w:w="2575" w:type="dxa"/>
            <w:noWrap w:val="0"/>
            <w:vAlign w:val="center"/>
          </w:tcPr>
          <w:p w14:paraId="4D54AB8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道路和桥梁建设</w:t>
            </w:r>
          </w:p>
        </w:tc>
        <w:tc>
          <w:tcPr>
            <w:tcW w:w="2625" w:type="dxa"/>
            <w:noWrap w:val="0"/>
            <w:vAlign w:val="center"/>
          </w:tcPr>
          <w:p w14:paraId="4ED2DBAA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公私合营、技术解决方案</w:t>
            </w:r>
          </w:p>
        </w:tc>
        <w:tc>
          <w:tcPr>
            <w:tcW w:w="5800" w:type="dxa"/>
            <w:noWrap w:val="0"/>
            <w:vAlign w:val="center"/>
          </w:tcPr>
          <w:p w14:paraId="673C3066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塔什干市现有道路和桥梁改造</w:t>
            </w:r>
          </w:p>
        </w:tc>
      </w:tr>
      <w:tr w14:paraId="5CA9D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65119467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29E20497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城市发展和道路基础设施</w:t>
            </w:r>
          </w:p>
        </w:tc>
        <w:tc>
          <w:tcPr>
            <w:tcW w:w="2575" w:type="dxa"/>
            <w:noWrap w:val="0"/>
            <w:vAlign w:val="center"/>
          </w:tcPr>
          <w:p w14:paraId="152F5312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智能道路、城市出行解决方案、"智慧城市"理念</w:t>
            </w:r>
          </w:p>
        </w:tc>
        <w:tc>
          <w:tcPr>
            <w:tcW w:w="2625" w:type="dxa"/>
            <w:noWrap w:val="0"/>
            <w:vAlign w:val="center"/>
          </w:tcPr>
          <w:p w14:paraId="3B926A07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道路建设和维护、停车系统</w:t>
            </w:r>
          </w:p>
        </w:tc>
        <w:tc>
          <w:tcPr>
            <w:tcW w:w="5800" w:type="dxa"/>
            <w:noWrap w:val="0"/>
            <w:vAlign w:val="center"/>
          </w:tcPr>
          <w:p w14:paraId="09E9DDC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推广"智慧城市"理念、城市区域清理</w:t>
            </w:r>
          </w:p>
        </w:tc>
      </w:tr>
      <w:tr w14:paraId="0DD5F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4A054C4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4FD40F2A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垃圾管理</w:t>
            </w:r>
          </w:p>
        </w:tc>
        <w:tc>
          <w:tcPr>
            <w:tcW w:w="2575" w:type="dxa"/>
            <w:noWrap w:val="0"/>
            <w:vAlign w:val="center"/>
          </w:tcPr>
          <w:p w14:paraId="71135F19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垃圾回收厂、垃圾转能源项目</w:t>
            </w:r>
          </w:p>
        </w:tc>
        <w:tc>
          <w:tcPr>
            <w:tcW w:w="2625" w:type="dxa"/>
            <w:noWrap w:val="0"/>
            <w:vAlign w:val="center"/>
          </w:tcPr>
          <w:p w14:paraId="0202E31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循环经济、 市政垃圾处理解决方案</w:t>
            </w:r>
          </w:p>
        </w:tc>
        <w:tc>
          <w:tcPr>
            <w:tcW w:w="5800" w:type="dxa"/>
            <w:noWrap w:val="0"/>
            <w:vAlign w:val="center"/>
          </w:tcPr>
          <w:p w14:paraId="327815B7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垃圾转能源项目、城市垃圾收集、公私合营项目</w:t>
            </w:r>
          </w:p>
        </w:tc>
      </w:tr>
      <w:tr w14:paraId="46938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1BDBC559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39A20E96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水利基础设施</w:t>
            </w:r>
          </w:p>
        </w:tc>
        <w:tc>
          <w:tcPr>
            <w:tcW w:w="2575" w:type="dxa"/>
            <w:noWrap w:val="0"/>
            <w:vAlign w:val="center"/>
          </w:tcPr>
          <w:p w14:paraId="1C6804F5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污水处理厂、小型水电站</w:t>
            </w:r>
          </w:p>
        </w:tc>
        <w:tc>
          <w:tcPr>
            <w:tcW w:w="2625" w:type="dxa"/>
            <w:noWrap w:val="0"/>
            <w:vAlign w:val="center"/>
          </w:tcPr>
          <w:p w14:paraId="75CF01E5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智能水资源管理、公私合营</w:t>
            </w:r>
          </w:p>
        </w:tc>
        <w:tc>
          <w:tcPr>
            <w:tcW w:w="5800" w:type="dxa"/>
            <w:noWrap w:val="0"/>
            <w:vAlign w:val="center"/>
          </w:tcPr>
          <w:p w14:paraId="27FD0CDC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小型水电站、污水处理厂</w:t>
            </w:r>
          </w:p>
        </w:tc>
      </w:tr>
      <w:tr w14:paraId="04EFE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07BA8D73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76CD77FD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制药和生物技术</w:t>
            </w:r>
          </w:p>
        </w:tc>
        <w:tc>
          <w:tcPr>
            <w:tcW w:w="2575" w:type="dxa"/>
            <w:noWrap w:val="0"/>
            <w:vAlign w:val="center"/>
          </w:tcPr>
          <w:p w14:paraId="7D07F4A9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药品生产、科研中心</w:t>
            </w:r>
          </w:p>
        </w:tc>
        <w:tc>
          <w:tcPr>
            <w:tcW w:w="2625" w:type="dxa"/>
            <w:noWrap w:val="0"/>
            <w:vAlign w:val="center"/>
          </w:tcPr>
          <w:p w14:paraId="0FC33E59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合作生产、临床研究、本地化</w:t>
            </w:r>
          </w:p>
        </w:tc>
        <w:tc>
          <w:tcPr>
            <w:tcW w:w="5800" w:type="dxa"/>
            <w:noWrap w:val="0"/>
            <w:vAlign w:val="center"/>
          </w:tcPr>
          <w:p w14:paraId="172CE0B7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"塔什干制药园区"、"新一代"特别工业区、小型工业区、个别工业项目</w:t>
            </w:r>
          </w:p>
        </w:tc>
      </w:tr>
      <w:tr w14:paraId="3FC0C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61510F5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120421FA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纺织和服装</w:t>
            </w:r>
          </w:p>
        </w:tc>
        <w:tc>
          <w:tcPr>
            <w:tcW w:w="2575" w:type="dxa"/>
            <w:noWrap w:val="0"/>
            <w:vAlign w:val="center"/>
          </w:tcPr>
          <w:p w14:paraId="3E14EBD5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棉花加工、服装生产</w:t>
            </w:r>
          </w:p>
        </w:tc>
        <w:tc>
          <w:tcPr>
            <w:tcW w:w="2625" w:type="dxa"/>
            <w:noWrap w:val="0"/>
            <w:vAlign w:val="center"/>
          </w:tcPr>
          <w:p w14:paraId="5DA1D8C4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供应链整合、出口合作伙伴关系</w:t>
            </w:r>
          </w:p>
        </w:tc>
        <w:tc>
          <w:tcPr>
            <w:tcW w:w="5800" w:type="dxa"/>
            <w:noWrap w:val="0"/>
            <w:vAlign w:val="center"/>
          </w:tcPr>
          <w:p w14:paraId="199C1AF6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"新一代"特别工业区、小型工业区、个别工业项目、纺织集群</w:t>
            </w:r>
          </w:p>
        </w:tc>
      </w:tr>
      <w:tr w14:paraId="7E3F5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7BF7C7CC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0BEA3B46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医疗基础设施</w:t>
            </w:r>
          </w:p>
        </w:tc>
        <w:tc>
          <w:tcPr>
            <w:tcW w:w="2575" w:type="dxa"/>
            <w:noWrap w:val="0"/>
            <w:vAlign w:val="center"/>
          </w:tcPr>
          <w:p w14:paraId="221AB874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医院、医疗设备生产</w:t>
            </w:r>
          </w:p>
        </w:tc>
        <w:tc>
          <w:tcPr>
            <w:tcW w:w="2625" w:type="dxa"/>
            <w:noWrap w:val="0"/>
            <w:vAlign w:val="center"/>
          </w:tcPr>
          <w:p w14:paraId="5226068B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医疗领域公私合营、数字医疗解决方案</w:t>
            </w:r>
          </w:p>
        </w:tc>
        <w:tc>
          <w:tcPr>
            <w:tcW w:w="5800" w:type="dxa"/>
            <w:noWrap w:val="0"/>
            <w:vAlign w:val="center"/>
          </w:tcPr>
          <w:p w14:paraId="6C319FC3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项目： "新塔什干市"、"乌赫捷帕中心"、"河滨项目"、"新乌兹别克斯坦街"、医疗机构改造</w:t>
            </w:r>
          </w:p>
        </w:tc>
      </w:tr>
      <w:tr w14:paraId="0CF66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5" w:type="dxa"/>
            <w:noWrap w:val="0"/>
            <w:tcMar>
              <w:left w:w="0" w:type="dxa"/>
            </w:tcMar>
            <w:vAlign w:val="center"/>
          </w:tcPr>
          <w:p w14:paraId="69BECA14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2120" w:type="dxa"/>
            <w:noWrap w:val="0"/>
            <w:tcMar>
              <w:left w:w="0" w:type="dxa"/>
            </w:tcMar>
            <w:vAlign w:val="center"/>
          </w:tcPr>
          <w:p w14:paraId="115C5201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商业伙伴关系</w:t>
            </w:r>
          </w:p>
        </w:tc>
        <w:tc>
          <w:tcPr>
            <w:tcW w:w="2575" w:type="dxa"/>
            <w:noWrap w:val="0"/>
            <w:vAlign w:val="center"/>
          </w:tcPr>
          <w:p w14:paraId="41D352CE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商品、设备的进出口、供应链</w:t>
            </w:r>
          </w:p>
        </w:tc>
        <w:tc>
          <w:tcPr>
            <w:tcW w:w="2625" w:type="dxa"/>
            <w:noWrap w:val="0"/>
            <w:vAlign w:val="center"/>
          </w:tcPr>
          <w:p w14:paraId="3DCEF8EC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以出口为导向行业的出口合作伙伴关系</w:t>
            </w:r>
          </w:p>
        </w:tc>
        <w:tc>
          <w:tcPr>
            <w:tcW w:w="5800" w:type="dxa"/>
            <w:noWrap w:val="0"/>
            <w:vAlign w:val="center"/>
          </w:tcPr>
          <w:p w14:paraId="02E4AD6B">
            <w:pPr>
              <w:jc w:val="center"/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方正仿宋简体" w:cs="Times New Roman"/>
                <w:b w:val="0"/>
                <w:bCs/>
                <w:i w:val="0"/>
                <w:iCs w:val="0"/>
                <w:caps w:val="0"/>
                <w:color w:val="404040"/>
                <w:spacing w:val="0"/>
                <w:kern w:val="0"/>
                <w:sz w:val="32"/>
                <w:szCs w:val="32"/>
                <w:lang w:val="en-US" w:eastAsia="zh-CN" w:bidi="ar"/>
              </w:rPr>
              <w:t>双边贸易伙伴关系</w:t>
            </w:r>
          </w:p>
        </w:tc>
      </w:tr>
    </w:tbl>
    <w:p w14:paraId="57EC6C2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486249"/>
    <w:rsid w:val="77D2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啵馅大福</cp:lastModifiedBy>
  <dcterms:modified xsi:type="dcterms:W3CDTF">2025-03-31T08:22:39Z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eyJoZGlkIjoiZjYzMzdjZmVmNjlhMzk3ZjAzYWUzMzI5NWU5M2EzZWIiLCJ1c2VySWQiOiIxMTIxODUwNTA4In0=</vt:lpwstr>
  </property>
  <property fmtid="{D5CDD505-2E9C-101B-9397-08002B2CF9AE}" pid="4" name="ICV">
    <vt:lpwstr>224D512525264277875C91677D3E7882_13</vt:lpwstr>
  </property>
</Properties>
</file>